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2026-10-04 och omfattar 159,7 ha.</w:t>
      </w:r>
    </w:p>
    <w:p>
      <w:pPr>
        <w:pStyle w:val="Caption"/>
      </w:pPr>
      <w:r>
        <w:drawing>
          <wp:inline xmlns:a="http://schemas.openxmlformats.org/drawingml/2006/main" xmlns:pic="http://schemas.openxmlformats.org/drawingml/2006/picture">
            <wp:extent cx="5486400" cy="4378328"/>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378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111 naturvårdsarter, varav 58 är rödlistade, 39 är fridlysta, 49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blodticka (S,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blåsippa (T, §9),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