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2026-09-21 och omfattar 168,3 ha.</w:t>
      </w:r>
    </w:p>
    <w:p>
      <w:pPr>
        <w:pStyle w:val="Caption"/>
      </w:pPr>
      <w:r>
        <w:drawing>
          <wp:inline xmlns:a="http://schemas.openxmlformats.org/drawingml/2006/main" xmlns:pic="http://schemas.openxmlformats.org/drawingml/2006/picture">
            <wp:extent cx="531586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15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71 naturvårdsarter, varav 37 är rödlistade, 20 är fridlysta, 32 är typiska (T) och 18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vedticka (S, T), vågbandad barkbock (S), blåsippa (T, §9), linnea (T),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vedticka (S, T), blåsippa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