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2026-09-21 och omfattar 403,2 ha.</w:t>
      </w:r>
    </w:p>
    <w:p>
      <w:pPr>
        <w:pStyle w:val="Caption"/>
      </w:pPr>
      <w:r>
        <w:drawing>
          <wp:inline xmlns:a="http://schemas.openxmlformats.org/drawingml/2006/main" xmlns:pic="http://schemas.openxmlformats.org/drawingml/2006/picture">
            <wp:extent cx="526442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44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