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2026-09-09 och omfattar 159,7 ha.</w:t>
      </w:r>
    </w:p>
    <w:p>
      <w:pPr>
        <w:pStyle w:val="Caption"/>
      </w:pPr>
      <w:r>
        <w:drawing>
          <wp:inline xmlns:a="http://schemas.openxmlformats.org/drawingml/2006/main" xmlns:pic="http://schemas.openxmlformats.org/drawingml/2006/picture">
            <wp:extent cx="5486400" cy="4577993"/>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779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