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2026-09-09 och omfattar 194,4 ha.</w:t>
      </w:r>
    </w:p>
    <w:p>
      <w:pPr>
        <w:pStyle w:val="Caption"/>
      </w:pPr>
      <w:r>
        <w:drawing>
          <wp:inline xmlns:a="http://schemas.openxmlformats.org/drawingml/2006/main" xmlns:pic="http://schemas.openxmlformats.org/drawingml/2006/picture">
            <wp:extent cx="5486400" cy="4550428"/>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5504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120 naturvårdsarter, varav 65 är rödlistade, 35 är fridlysta, 53 är typiska (T) och 32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