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Lervassa träsk naturreservat i Haninge kommun</w:t>
      </w:r>
    </w:p>
    <w:p>
      <w:r>
        <w:t>Detta klagomål behandlar höga naturvärden i avverkningsanmälan Lervassa träsk naturreservat i Haninge kommun som inkom 2026-10-26 och omfattar 168,3 ha.</w:t>
      </w:r>
    </w:p>
    <w:p>
      <w:pPr>
        <w:pStyle w:val="Caption"/>
      </w:pPr>
      <w:r>
        <w:drawing>
          <wp:inline xmlns:a="http://schemas.openxmlformats.org/drawingml/2006/main" xmlns:pic="http://schemas.openxmlformats.org/drawingml/2006/picture">
            <wp:extent cx="5285288" cy="5724000"/>
            <wp:docPr id="1" name="Picture 1"/>
            <wp:cNvGraphicFramePr>
              <a:graphicFrameLocks noChangeAspect="1"/>
            </wp:cNvGraphicFramePr>
            <a:graphic>
              <a:graphicData uri="http://schemas.openxmlformats.org/drawingml/2006/picture">
                <pic:pic>
                  <pic:nvPicPr>
                    <pic:cNvPr id="0" name="Lervassa träsk naturreservat karta.png"/>
                    <pic:cNvPicPr/>
                  </pic:nvPicPr>
                  <pic:blipFill>
                    <a:blip r:embed="rId16"/>
                    <a:stretch>
                      <a:fillRect/>
                    </a:stretch>
                  </pic:blipFill>
                  <pic:spPr>
                    <a:xfrm>
                      <a:off x="0" y="0"/>
                      <a:ext cx="528528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6550927, E 695745 i SWEREF 99 TM.</w:t>
      </w:r>
    </w:p>
    <w:p>
      <w:r>
        <w:t>I och inom 23 meter från avverkningsanmälan finns fynd av 73 naturvårdsarter, varav 37 är rödlistade, 21 är fridlysta, 34 är typiska (T) och 19 är signalarter (S): knölig taggsvamp (EN), koppartaggsvamp (EN), bredbrämad bastardsvärmare (VU), garnlav (VU, T), goliatmusseron (VU, T), gränsticka (VU, T), grönfink (VU, §4), mindre bastardsvärmare (VU), sexfläckig bastardsvärmare (VU), skrovlig taggsvamp (VU), barrviolspindling (NT), blå taggsvamp (NT, T), dofttaggsvamp (NT, T), dropptaggsvamp (NT, T), enkelbeckasin (NT, §4), fjällig taggsvamp s.str. (NT), grönhjon (NT), gulsparv (NT, §4), kandelabersvamp (NT, T), kattfotslav (NT, T), kortskaftad ärgspik (NT), kötticka (NT), motaggsvamp (NT, T), orange taggsvamp (NT, T), Phellodon aquiloniniger (NT), reliktbock (NT, T), skarp dropptaggsvamp (NT), svartvit taggsvamp (NT), tallticka (NT, T), talltita (NT, §4), tjockfotad fingersvamp (NT), ullticka (NT, T), vedskivlav (NT, T), vedtrappmossa (NT, T), vintertagging (NT), vitplätt (NT), vågticka (NT), björksplintborre (S), blomkålssvamp (S), blåmossa (S, T), bronshjon (S, T), flagellkvastmossa (S, T), granbarkgnagare (S, T), grovticka (S, T), grön sköldmossa (S, T, §8), grönpyrola (S, T), mindre märgborre (S, T), rödgul trumpetsvamp (S), skogshakmossa (S, T), stekelbock (S, T), stor aspticka (S, T), stubbspretmossa (S, T), thomsons trägnagare (S), trådticka (S, T), vedticka (S, T), vågbandad barkbock (S), blåsippa (T, §9), linnea (T), spillkråka (T, §4), tjäder (T, §4), tofsmes (T, §4), fiskgjuse (§4), gröngöling (§4), havsörn (§4), kungsfågel (§4), orre (§4), huggorm (§6), kopparödla (§6), mindre vattensalamander (§6), vanlig groda (§6), vanlig padda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Knölig taggsvamp (EN) </w:t>
      </w:r>
      <w:r>
        <w:t>är en starkt hotad art som bildar mykorrhiza med gran i äldre kalkbarrskog. Arten är placerad högst upp i Skogsstyrelsens värdepyramid för bedömning av skog med höga naturvärden och främsta hotet utgör skogsavverkning eller exploatering av växtplatsen. Samtliga växtlokaler utgör naturvårdsmässiga toppobjekt med stor biologisk mångfald, vilka alla bör erhålla långsiktigt formellt skydd (SLU Artdatabanken, 2024;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73 naturvårdsarter varav 37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