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2026-08-18 och omfattar 280,8 ha.</w:t>
      </w:r>
    </w:p>
    <w:p>
      <w:pPr>
        <w:pStyle w:val="Caption"/>
      </w:pPr>
      <w:r>
        <w:drawing>
          <wp:inline xmlns:a="http://schemas.openxmlformats.org/drawingml/2006/main" xmlns:pic="http://schemas.openxmlformats.org/drawingml/2006/picture">
            <wp:extent cx="5486400" cy="5184039"/>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1840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