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2026-08-18 och omfattar 128,0 ha.</w:t>
      </w:r>
    </w:p>
    <w:p>
      <w:pPr>
        <w:pStyle w:val="Caption"/>
      </w:pPr>
      <w:r>
        <w:drawing>
          <wp:inline xmlns:a="http://schemas.openxmlformats.org/drawingml/2006/main" xmlns:pic="http://schemas.openxmlformats.org/drawingml/2006/picture">
            <wp:extent cx="478136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1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