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2026-08-18 och omfattar 237,7 ha.</w:t>
      </w:r>
    </w:p>
    <w:p>
      <w:pPr>
        <w:pStyle w:val="Caption"/>
      </w:pPr>
      <w:r>
        <w:drawing>
          <wp:inline xmlns:a="http://schemas.openxmlformats.org/drawingml/2006/main" xmlns:pic="http://schemas.openxmlformats.org/drawingml/2006/picture">
            <wp:extent cx="5486400" cy="4572424"/>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72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70 naturvårdsarter, varav 37 är rödlistade, 26 är fridlysta, 36 är typiska (T) och 15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