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2026-08-02 och omfattar 159,7 ha.</w:t>
      </w:r>
    </w:p>
    <w:p>
      <w:pPr>
        <w:pStyle w:val="Caption"/>
      </w:pPr>
      <w:r>
        <w:drawing>
          <wp:inline xmlns:a="http://schemas.openxmlformats.org/drawingml/2006/main" xmlns:pic="http://schemas.openxmlformats.org/drawingml/2006/picture">
            <wp:extent cx="5486400" cy="4654718"/>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47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99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