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2026-10-29 och omfattar 128,0 ha.</w:t>
      </w:r>
    </w:p>
    <w:p>
      <w:pPr>
        <w:pStyle w:val="Caption"/>
      </w:pPr>
      <w:r>
        <w:drawing>
          <wp:inline xmlns:a="http://schemas.openxmlformats.org/drawingml/2006/main" xmlns:pic="http://schemas.openxmlformats.org/drawingml/2006/picture">
            <wp:extent cx="506131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6131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53 naturvårdsarter, varav 31 är rödlistade, 20 är fridlysta, 26 är typiska (T) och 8 är signalarter (S): hornuggla (EN, §4), brunfläckig pärlemorfjäril (VU), garnlav (VU, T), goliatmusseron (VU, T), gränsticka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