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2026-10-29 och omfattar 237,7 ha.</w:t>
      </w:r>
    </w:p>
    <w:p>
      <w:pPr>
        <w:pStyle w:val="Caption"/>
      </w:pPr>
      <w:r>
        <w:drawing>
          <wp:inline xmlns:a="http://schemas.openxmlformats.org/drawingml/2006/main" xmlns:pic="http://schemas.openxmlformats.org/drawingml/2006/picture">
            <wp:extent cx="5486400" cy="4231577"/>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15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74 naturvårdsarter, varav 39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Phellodon aquiloniniger (NT),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