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2026-10-12 och omfattar 237,7 ha.</w:t>
      </w:r>
    </w:p>
    <w:p>
      <w:pPr>
        <w:pStyle w:val="Caption"/>
      </w:pPr>
      <w:r>
        <w:drawing>
          <wp:inline xmlns:a="http://schemas.openxmlformats.org/drawingml/2006/main" xmlns:pic="http://schemas.openxmlformats.org/drawingml/2006/picture">
            <wp:extent cx="5486400" cy="4276476"/>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764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