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2026-10-12 och omfattar 194,4 ha.</w:t>
      </w:r>
    </w:p>
    <w:p>
      <w:pPr>
        <w:pStyle w:val="Caption"/>
      </w:pPr>
      <w:r>
        <w:drawing>
          <wp:inline xmlns:a="http://schemas.openxmlformats.org/drawingml/2006/main" xmlns:pic="http://schemas.openxmlformats.org/drawingml/2006/picture">
            <wp:extent cx="5486400" cy="4353330"/>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53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132 naturvårdsarter, varav 68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