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2026-09-27 och omfattar 237,7 ha.</w:t>
      </w:r>
    </w:p>
    <w:p>
      <w:pPr>
        <w:pStyle w:val="Caption"/>
      </w:pPr>
      <w:r>
        <w:drawing>
          <wp:inline xmlns:a="http://schemas.openxmlformats.org/drawingml/2006/main" xmlns:pic="http://schemas.openxmlformats.org/drawingml/2006/picture">
            <wp:extent cx="5486400" cy="4511953"/>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119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72 naturvårdsarter, varav 37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blåmossa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