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i Haninge kommun</w:t>
      </w:r>
    </w:p>
    <w:p>
      <w:r>
        <w:t>Denna tillsynsbegäran behandlar höga naturvärden i avverkningsanmälan Norrbytorps naturreservat i Haninge kommun som inkom 2026-08-23 och omfattar 159,7 ha.</w:t>
      </w:r>
    </w:p>
    <w:p>
      <w:pPr>
        <w:pStyle w:val="Caption"/>
      </w:pPr>
      <w:r>
        <w:drawing>
          <wp:inline xmlns:a="http://schemas.openxmlformats.org/drawingml/2006/main" xmlns:pic="http://schemas.openxmlformats.org/drawingml/2006/picture">
            <wp:extent cx="5486400" cy="4651586"/>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6515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99 naturvårdsarter, varav 56 är rödlistade, 31 är fridlysta, 43 är typiska (T) och 24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tallört (aggregat) (T), tjäder (T, §4), gröngöling (§4), havsörn (§4), trana (§4), törnskata (§4), åkergroda (§4a), huggorm (§6),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blå taggsvamp (NT, T), dofttaggsvamp (NT, T), dropptaggsvamp (NT, T), fyrflikig jordstjärna (NT, T), kandelabersvamp (NT, T), koralltaggsvamp (NT, T), lunglav (NT, T), mindre hackspett (NT, T, §4), motaggsvamp (NT, T), orange taggsvamp (NT, T), reliktbock (NT, T), talltagel (NT, T), tallticka (NT, T), ullticka (NT, T), vedskivlav (NT, T), vedtrappmossa (NT, T), blåmossa (S, T), bronshjon (S, T), granbarkgnagare (S, T), grovticka (S, T), grön sköldmossa (S, T, §8), grönpyrola (S, T), korallrot (S, T, §8), mindre märgborre (S, T), nästlav (S, T), plattlummer (S, T, §9), rostfläck (S, T), spindelblomster (S, T, §8), stubbspretmossa (S, T), trådticka (S, T), vedticka (S, T), linnea (T), mattlummer (T, §9), nattskärra (T, §4), spillkråka (T, §4), tallört (aggregat)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