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2026-08-22 och omfattar 415,0 ha.</w:t>
      </w:r>
    </w:p>
    <w:p>
      <w:pPr>
        <w:pStyle w:val="Caption"/>
      </w:pPr>
      <w:r>
        <w:drawing>
          <wp:inline xmlns:a="http://schemas.openxmlformats.org/drawingml/2006/main" xmlns:pic="http://schemas.openxmlformats.org/drawingml/2006/picture">
            <wp:extent cx="4950245"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5024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153 naturvårdsarter varav 80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