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2026-08-01 och omfattar 237,7 ha.</w:t>
      </w:r>
    </w:p>
    <w:p>
      <w:pPr>
        <w:pStyle w:val="Caption"/>
      </w:pPr>
      <w:r>
        <w:drawing>
          <wp:inline xmlns:a="http://schemas.openxmlformats.org/drawingml/2006/main" xmlns:pic="http://schemas.openxmlformats.org/drawingml/2006/picture">
            <wp:extent cx="5486400" cy="4576685"/>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766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