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2026-08-01 och omfattar 159,7 ha.</w:t>
      </w:r>
    </w:p>
    <w:p>
      <w:pPr>
        <w:pStyle w:val="Caption"/>
      </w:pPr>
      <w:r>
        <w:drawing>
          <wp:inline xmlns:a="http://schemas.openxmlformats.org/drawingml/2006/main" xmlns:pic="http://schemas.openxmlformats.org/drawingml/2006/picture">
            <wp:extent cx="5486400" cy="4654718"/>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47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