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Ramsjöns naturreservat i Haninge kommun</w:t>
      </w:r>
    </w:p>
    <w:p>
      <w:r>
        <w:t>Denna tillsynsbegäran behandlar höga naturvärden i avverkningsanmälan Ramsjöns naturreservat i Haninge kommun som inkom 2026-08-01 och omfattar 280,8 ha.</w:t>
      </w:r>
    </w:p>
    <w:p>
      <w:pPr>
        <w:pStyle w:val="Caption"/>
      </w:pPr>
      <w:r>
        <w:drawing>
          <wp:inline xmlns:a="http://schemas.openxmlformats.org/drawingml/2006/main" xmlns:pic="http://schemas.openxmlformats.org/drawingml/2006/picture">
            <wp:extent cx="5486400" cy="5187251"/>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72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knärot (VU, T, §8), lakritsmusseron (VU, T), ostticka (VU, T), blekticka (NT, T), dropptaggsvamp (NT, T), dunmossa (NT, T), fyrflikig jordstjärna (NT, T), gropticka (NT, T), grynig filtlav (NT, T), kandelabersvamp (NT, T), mindre hackspett (NT, T, §4), motaggsvamp (NT, T), orange taggsvamp (NT, T), rosenticka (NT, T), rutskinn (NT, T), rynkskinn (NT, T), slåtterfibbla (NT, T), svartöra (NT, T), talltagel (NT, T), tallticka (NT, T), ullticka (NT, T), vedskivlav (NT, T), vedtrappmossa (NT, T), violettgrå tagellav (NT, T), blodticka (S, T), blåmossa (S, T), blåsfliksmossa (S, T), bronshjon (S, T), flagellkvastmossa (S, T), fällmossa (S, T), granbarkgnagare (S, T), grovticka (S, T), grön sköldmossa (S, T, §8), grönpyrola (S, T), guldlockmossa (S, T), hasselticka (S, T), kornknutmossa (S, T), mindre märgborre (S, T), mörk husmossa (S, T), nästlav (S, T), rostfläck (S, T), rävticka (S, T), skogsknipprot (S, T, §8), stenporella (S, T), stor aspticka (S, T), strutbräken (S, T), stubbspretmossa (S, T), svart trolldruva (S, T), tibast (S, T), trådticka (S, T), vedticka (S, T), vätteros (S, T), blåsippa (T, §9), brudborste (T), glansfläck (T), krushättemossa (T), källgräsmossa (T),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