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2026-08-31 och omfattar 159,7 ha.</w:t>
      </w:r>
    </w:p>
    <w:p>
      <w:pPr>
        <w:pStyle w:val="Caption"/>
      </w:pPr>
      <w:r>
        <w:drawing>
          <wp:inline xmlns:a="http://schemas.openxmlformats.org/drawingml/2006/main" xmlns:pic="http://schemas.openxmlformats.org/drawingml/2006/picture">
            <wp:extent cx="5486400" cy="4634241"/>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34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99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