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utökat i Haninge kommun</w:t>
      </w:r>
    </w:p>
    <w:p>
      <w:r>
        <w:t>Detta klagomål behandlar höga naturvärden i avverkningsanmälan Norrbytorps naturreservat utökat i Haninge kommun som inkom 2026-08-31 och omfattar 194,4 ha.</w:t>
      </w:r>
    </w:p>
    <w:p>
      <w:pPr>
        <w:pStyle w:val="Caption"/>
      </w:pPr>
      <w:r>
        <w:drawing>
          <wp:inline xmlns:a="http://schemas.openxmlformats.org/drawingml/2006/main" xmlns:pic="http://schemas.openxmlformats.org/drawingml/2006/picture">
            <wp:extent cx="5486400" cy="4730523"/>
            <wp:docPr id="1" name="Picture 1"/>
            <wp:cNvGraphicFramePr>
              <a:graphicFrameLocks noChangeAspect="1"/>
            </wp:cNvGraphicFramePr>
            <a:graphic>
              <a:graphicData uri="http://schemas.openxmlformats.org/drawingml/2006/picture">
                <pic:pic>
                  <pic:nvPicPr>
                    <pic:cNvPr id="0" name="Norrbytorps naturreservat utökat karta.png"/>
                    <pic:cNvPicPr/>
                  </pic:nvPicPr>
                  <pic:blipFill>
                    <a:blip r:embed="rId16"/>
                    <a:stretch>
                      <a:fillRect/>
                    </a:stretch>
                  </pic:blipFill>
                  <pic:spPr>
                    <a:xfrm>
                      <a:off x="0" y="0"/>
                      <a:ext cx="5486400" cy="47305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6563055, E 687118 i SWEREF 99 TM.</w:t>
      </w:r>
    </w:p>
    <w:p>
      <w:r>
        <w:t>I och inom 25 meter från avverkningsanmälan finns fynd av 119 naturvårdsarter, varav 65 är rödlistade, 35 är fridlysta, 52 är typiska (T) och 31 är signalarter (S): brödtaggsvamp (EN), koppartaggsvamp (EN), svartoxe (EN), garnlav (VU, T), goliatmusseron (VU, T), gränsticka (VU, T), gul taggsvamp (VU, T), hasselsnok (VU, §4a), jättemusseron (VU), knärot (VU, T, §8), lakritsmusseron (VU, T), lappuggla (VU, §4), liten hornflikmossa (VU), mindre bastardsvärmare (VU), mjölkörtsspinnare (VU), ostticka (VU, T),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rosenticka (NT, T), rynkskinn (NT, T), skarp dropptaggsvamp (NT), skogsklocka (NT), svartvit taggsvamp (NT), sågtandad mycelbagge (NT), tallfingersvamp (NT), tallkötticka (NT), talltagel (NT, T), tallticka (NT, T), talltita (NT, §4), tjockfotad fingersvamp (NT), ullticka (NT, T), vaddporing (NT), veckticka (NT, T), vedskivlav (NT, T), vedtrappmossa (NT, T), vintertagging (NT), vit vedfingersvamp (NT), vågticka (NT), aspvedborre (S), björksplintborre (S), blodticka (S, T), blomkålssvamp (S), blåmossa (S, T), brandticka (S), bronshjon (S, T), Dorcatoma dresdensis (S), granbarkgnagare (S, T), grovticka (S, T), grön sköldmossa (S, T, §8), grönpyrola (S, T), jättesvampmal (S), korallrot (S, T, §8), mindre märgborre (S, T), nästlav (S, T), platt fjädermossa (S, T), plattlummer (S, T, §9), rostfläck (S, T), rödgul trumpetsvamp (S), spindelblomster (S, T, §8), stor aspticka (S, T), stubbspretmossa (S, T), thomsons trägnagare (S), Thymalus limbatus (S), trådticka (S, T), vanlig flatbagge (S, T), vedticka (S, T), västlig hakmossa (S), vågbandad barkbock (S), zontaggsvamp (S), linnea (T), mattlummer (T, §9), nattskärra (T, §4), spillkråka (T, §4), tallört (aggregat) (T), tjäder (T, §4), tofsmes (T, §4), gröngöling (§4), grönsiska (§4), havsörn (§4), kungsfågel (§4), trana (§4), törnskata (§4), åkergroda (§4a), huggorm (§6), kopparödla (§6), mindre vattensalamander (§6), vanlig groda (§6), vanlig padda (§6), vanlig snok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12.75 ha med buffertzonerna och får av detta skäl inte avverkas.</w:t>
      </w:r>
    </w:p>
    <w:p>
      <w:pPr>
        <w:pStyle w:val="Caption"/>
      </w:pPr>
      <w:r>
        <w:drawing>
          <wp:inline xmlns:a="http://schemas.openxmlformats.org/drawingml/2006/main" xmlns:pic="http://schemas.openxmlformats.org/drawingml/2006/picture">
            <wp:extent cx="5486400" cy="3832939"/>
            <wp:docPr id="2" name="Picture 2"/>
            <wp:cNvGraphicFramePr>
              <a:graphicFrameLocks noChangeAspect="1"/>
            </wp:cNvGraphicFramePr>
            <a:graphic>
              <a:graphicData uri="http://schemas.openxmlformats.org/drawingml/2006/picture">
                <pic:pic>
                  <pic:nvPicPr>
                    <pic:cNvPr id="0" name="Norrbytorps naturreservat utökat karta knärot.png"/>
                    <pic:cNvPicPr/>
                  </pic:nvPicPr>
                  <pic:blipFill>
                    <a:blip r:embed="rId17"/>
                    <a:stretch>
                      <a:fillRect/>
                    </a:stretch>
                  </pic:blipFill>
                  <pic:spPr>
                    <a:xfrm>
                      <a:off x="0" y="0"/>
                      <a:ext cx="5486400" cy="3832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6563055, E 687118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96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119 naturvårdsarter varav 65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