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2026-07-25 och omfattar 450,6 ha.</w:t>
      </w:r>
    </w:p>
    <w:p>
      <w:pPr>
        <w:pStyle w:val="Caption"/>
      </w:pPr>
      <w:r>
        <w:drawing>
          <wp:inline xmlns:a="http://schemas.openxmlformats.org/drawingml/2006/main" xmlns:pic="http://schemas.openxmlformats.org/drawingml/2006/picture">
            <wp:extent cx="5486400" cy="4408755"/>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0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