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2026-08-07 och omfattar 159,7 ha.</w:t>
      </w:r>
    </w:p>
    <w:p>
      <w:pPr>
        <w:pStyle w:val="Caption"/>
      </w:pPr>
      <w:r>
        <w:drawing>
          <wp:inline xmlns:a="http://schemas.openxmlformats.org/drawingml/2006/main" xmlns:pic="http://schemas.openxmlformats.org/drawingml/2006/picture">
            <wp:extent cx="5486400" cy="4654718"/>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47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99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