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2026-08-07 och omfattar 450,6 ha.</w:t>
      </w:r>
    </w:p>
    <w:p>
      <w:pPr>
        <w:pStyle w:val="Caption"/>
      </w:pPr>
      <w:r>
        <w:drawing>
          <wp:inline xmlns:a="http://schemas.openxmlformats.org/drawingml/2006/main" xmlns:pic="http://schemas.openxmlformats.org/drawingml/2006/picture">
            <wp:extent cx="5486400" cy="4419257"/>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192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