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2026-08-07 och omfattar 280,8 ha.</w:t>
      </w:r>
    </w:p>
    <w:p>
      <w:pPr>
        <w:pStyle w:val="Caption"/>
      </w:pPr>
      <w:r>
        <w:drawing>
          <wp:inline xmlns:a="http://schemas.openxmlformats.org/drawingml/2006/main" xmlns:pic="http://schemas.openxmlformats.org/drawingml/2006/picture">
            <wp:extent cx="5486400" cy="5187251"/>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72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