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2026-09-05 och omfattar 159,7 ha.</w:t>
      </w:r>
    </w:p>
    <w:p>
      <w:pPr>
        <w:pStyle w:val="Caption"/>
      </w:pPr>
      <w:r>
        <w:drawing>
          <wp:inline xmlns:a="http://schemas.openxmlformats.org/drawingml/2006/main" xmlns:pic="http://schemas.openxmlformats.org/drawingml/2006/picture">
            <wp:extent cx="5486400" cy="4601114"/>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011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101 naturvårdsarter, varav 56 är rödlistade, 32 är fridlysta, 45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tofsmes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101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