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2026-09-05 och omfattar 280,8 ha.</w:t>
      </w:r>
    </w:p>
    <w:p>
      <w:pPr>
        <w:pStyle w:val="Caption"/>
      </w:pPr>
      <w:r>
        <w:drawing>
          <wp:inline xmlns:a="http://schemas.openxmlformats.org/drawingml/2006/main" xmlns:pic="http://schemas.openxmlformats.org/drawingml/2006/picture">
            <wp:extent cx="5486400" cy="5183874"/>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38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