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2026-10-02 och omfattar 159,7 ha.</w:t>
      </w:r>
    </w:p>
    <w:p>
      <w:pPr>
        <w:pStyle w:val="Caption"/>
      </w:pPr>
      <w:r>
        <w:drawing>
          <wp:inline xmlns:a="http://schemas.openxmlformats.org/drawingml/2006/main" xmlns:pic="http://schemas.openxmlformats.org/drawingml/2006/picture">
            <wp:extent cx="5486400" cy="4378695"/>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786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110 naturvårdsarter, varav 58 är rödlistade, 38 är fridlysta, 48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110 naturvårdsarter varav 58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