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2026-10-02 och omfattar 237,7 ha.</w:t>
      </w:r>
    </w:p>
    <w:p>
      <w:pPr>
        <w:pStyle w:val="Caption"/>
      </w:pPr>
      <w:r>
        <w:drawing>
          <wp:inline xmlns:a="http://schemas.openxmlformats.org/drawingml/2006/main" xmlns:pic="http://schemas.openxmlformats.org/drawingml/2006/picture">
            <wp:extent cx="5486400" cy="4510396"/>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10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72 naturvårdsarter, varav 37 är rödlistade, 26 är fridlysta, 37 är typiska (T) och 17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blåmossa (S, T),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72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