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2026-10-02 och omfattar 159,7 ha.</w:t>
      </w:r>
    </w:p>
    <w:p>
      <w:pPr>
        <w:pStyle w:val="Caption"/>
      </w:pPr>
      <w:r>
        <w:drawing>
          <wp:inline xmlns:a="http://schemas.openxmlformats.org/drawingml/2006/main" xmlns:pic="http://schemas.openxmlformats.org/drawingml/2006/picture">
            <wp:extent cx="5486400" cy="4378695"/>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3786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110 naturvårdsarter, varav 58 är rödlistade, 38 är fridlysta, 48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blodticka (S,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