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2026-10-02 och omfattar 237,7 ha.</w:t>
      </w:r>
    </w:p>
    <w:p>
      <w:pPr>
        <w:pStyle w:val="Caption"/>
      </w:pPr>
      <w:r>
        <w:drawing>
          <wp:inline xmlns:a="http://schemas.openxmlformats.org/drawingml/2006/main" xmlns:pic="http://schemas.openxmlformats.org/drawingml/2006/picture">
            <wp:extent cx="5486400" cy="4510396"/>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10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72 naturvårdsarter, varav 37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blåmossa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