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2026-07-17 och omfattar 450,6 ha.</w:t>
      </w:r>
    </w:p>
    <w:p>
      <w:pPr>
        <w:pStyle w:val="Caption"/>
      </w:pPr>
      <w:r>
        <w:drawing>
          <wp:inline xmlns:a="http://schemas.openxmlformats.org/drawingml/2006/main" xmlns:pic="http://schemas.openxmlformats.org/drawingml/2006/picture">
            <wp:extent cx="5486400" cy="4407868"/>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07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