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Grytholmens naturreservat i Haninge kommun</w:t>
      </w:r>
    </w:p>
    <w:p>
      <w:r>
        <w:t>Denna tillsynsbegäran behandlar höga naturvärden i avverkningsanmälan Grytholmens naturreservat i Haninge kommun som inkom 2026-10-24 och omfattar 33,0 ha.</w:t>
      </w:r>
    </w:p>
    <w:p>
      <w:pPr>
        <w:pStyle w:val="Caption"/>
      </w:pPr>
      <w:r>
        <w:drawing>
          <wp:inline xmlns:a="http://schemas.openxmlformats.org/drawingml/2006/main" xmlns:pic="http://schemas.openxmlformats.org/drawingml/2006/picture">
            <wp:extent cx="5486400" cy="4676457"/>
            <wp:docPr id="1" name="Picture 1"/>
            <wp:cNvGraphicFramePr>
              <a:graphicFrameLocks noChangeAspect="1"/>
            </wp:cNvGraphicFramePr>
            <a:graphic>
              <a:graphicData uri="http://schemas.openxmlformats.org/drawingml/2006/picture">
                <pic:pic>
                  <pic:nvPicPr>
                    <pic:cNvPr id="0" name="Grytholmens naturreservat karta.png"/>
                    <pic:cNvPicPr/>
                  </pic:nvPicPr>
                  <pic:blipFill>
                    <a:blip r:embed="rId16"/>
                    <a:stretch>
                      <a:fillRect/>
                    </a:stretch>
                  </pic:blipFill>
                  <pic:spPr>
                    <a:xfrm>
                      <a:off x="0" y="0"/>
                      <a:ext cx="5486400" cy="4676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6543436, E 680763 i SWEREF 99 TM.</w:t>
      </w:r>
    </w:p>
    <w:p>
      <w:r>
        <w:t>I avverkningsanmälan finns fynd av 7 naturvårdsarter, varav 4 är rödlistade, 4 är fridlysta, 2 är typiska (T) och 1 är signalart (S): adam och eva (NT, §8), jungfrulin (NT), solvända (NT), sårläka (NT, T), skogsknipprot (S, T, §8), grönvit nattviol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