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2026-10-24 och omfattar 415,0 ha.</w:t>
      </w:r>
    </w:p>
    <w:p>
      <w:pPr>
        <w:pStyle w:val="Caption"/>
      </w:pPr>
      <w:r>
        <w:drawing>
          <wp:inline xmlns:a="http://schemas.openxmlformats.org/drawingml/2006/main" xmlns:pic="http://schemas.openxmlformats.org/drawingml/2006/picture">
            <wp:extent cx="4972364"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723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160 naturvårdsarter, varav 85 är rödlistade, 42 är fridlysta, 70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Phellodon aquiloniniger (NT), rynkskinn (NT, T), rödvingetrast (NT, §4), skarp dropptaggsvamp (NT), skogshare (NT), skuggblåslav (NT, T), storgröe (NT, T), svartvit taggsvamp (NT), svartöra (NT, 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stjärtmes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svartöra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