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2026-10-24 och omfattar 194,4 ha.</w:t>
      </w:r>
    </w:p>
    <w:p>
      <w:pPr>
        <w:pStyle w:val="Caption"/>
      </w:pPr>
      <w:r>
        <w:drawing>
          <wp:inline xmlns:a="http://schemas.openxmlformats.org/drawingml/2006/main" xmlns:pic="http://schemas.openxmlformats.org/drawingml/2006/picture">
            <wp:extent cx="5486400" cy="4347070"/>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7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133 naturvårdsarter, varav 69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