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Tutvikskogens naturreservat i Haninge kommun</w:t>
      </w:r>
    </w:p>
    <w:p>
      <w:r>
        <w:t>Denna tillsynsbegäran behandlar höga naturvärden i avverkningsanmälan Tutvikskogens naturreservat i Haninge kommun som inkom 2026-10-24 och omfattar 194,2 ha.</w:t>
      </w:r>
    </w:p>
    <w:p>
      <w:pPr>
        <w:pStyle w:val="Caption"/>
      </w:pPr>
      <w:r>
        <w:drawing>
          <wp:inline xmlns:a="http://schemas.openxmlformats.org/drawingml/2006/main" xmlns:pic="http://schemas.openxmlformats.org/drawingml/2006/picture">
            <wp:extent cx="5337784" cy="5724000"/>
            <wp:docPr id="1" name="Picture 1"/>
            <wp:cNvGraphicFramePr>
              <a:graphicFrameLocks noChangeAspect="1"/>
            </wp:cNvGraphicFramePr>
            <a:graphic>
              <a:graphicData uri="http://schemas.openxmlformats.org/drawingml/2006/picture">
                <pic:pic>
                  <pic:nvPicPr>
                    <pic:cNvPr id="0" name="Tutvikskogens naturreservat karta.png"/>
                    <pic:cNvPicPr/>
                  </pic:nvPicPr>
                  <pic:blipFill>
                    <a:blip r:embed="rId16"/>
                    <a:stretch>
                      <a:fillRect/>
                    </a:stretch>
                  </pic:blipFill>
                  <pic:spPr>
                    <a:xfrm>
                      <a:off x="0" y="0"/>
                      <a:ext cx="533778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6567361, E 685071 i SWEREF 99 TM.</w:t>
      </w:r>
    </w:p>
    <w:p>
      <w:r>
        <w:t>I och inom 15 meter från avverkningsanmälan finns fynd av 49 naturvårdsarter, varav 25 är rödlistade, 14 är fridlysta, 27 är typiska (T) och 14 är signalarter (S): garnlav (VU, T), goliatmusseron (VU, T), gul taggsvamp (VU, T), jättemusseron (VU), knärot (VU, T, §8), lakritsmusseron (VU, T), Ramaria neoformosa (VU), ryl (VU, T), skrovlig taggsvamp (VU), blå taggsvamp (NT, T), dropptaggsvamp (NT, T), dvärgbägarlav (NT, T), jungfrulin (NT), kötticka (NT), motaggsvamp (NT, T), orange taggsvamp (NT, T), svartvit taggsvamp (NT), tallkötticka (NT), tallticka (NT, T), talltita (NT, §4), tjockfotad fingersvamp (NT), ullticka (NT, T), vedskivlav (NT, T), vintertagging (NT), älg (NT), björksplintborre (S), blodticka (S, T), blomkålssvamp (S), blåmossa (S, T), flagellkvastmossa (S, T), granbarkgnagare (S, T), grovticka (S, T), grön sköldmossa (S, T, §8), grönpyrola (S, T), mindre märgborre (S, T), plattlummer (S, T, §9), vedticka (S, T), västlig hakmossa (S), vågbandad barkbock (S), mattlummer (T, §9), spillkråka (T, §4), tjäder (T, §4), kungsfågel (§4), huggorm (§6), kopparödla (§6), vanlig padda (§6), vanlig snok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45301"/>
            <wp:docPr id="2" name="Picture 2"/>
            <wp:cNvGraphicFramePr>
              <a:graphicFrameLocks noChangeAspect="1"/>
            </wp:cNvGraphicFramePr>
            <a:graphic>
              <a:graphicData uri="http://schemas.openxmlformats.org/drawingml/2006/picture">
                <pic:pic>
                  <pic:nvPicPr>
                    <pic:cNvPr id="0" name="Tutvikskogens naturreservat karta knärot.png"/>
                    <pic:cNvPicPr/>
                  </pic:nvPicPr>
                  <pic:blipFill>
                    <a:blip r:embed="rId17"/>
                    <a:stretch>
                      <a:fillRect/>
                    </a:stretch>
                  </pic:blipFill>
                  <pic:spPr>
                    <a:xfrm>
                      <a:off x="0" y="0"/>
                      <a:ext cx="5486400" cy="49453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6567361, E 685071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gul taggsvamp (VU, T), knärot (VU, T, §8), lakritsmusseron (VU, T), ryl (VU, T), blå taggsvamp (NT, T), dropptaggsvamp (NT, T), dvärgbägarlav (NT, T), motaggsvamp (NT, T), orange taggsvamp (NT, T), tallticka (NT, T), ullticka (NT, T), vedskivlav (NT, T), blodticka (S, T), blåmossa (S, T), flagellkvastmossa (S, T), granbarkgnagare (S, T), grovticka (S, T), grön sköldmossa (S, T, §8), grönpyrola (S, T), mindre märgborre (S, T), plattlummer (S, T, §9), vedticka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