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2026-10-24 och omfattar 237,7 ha.</w:t>
      </w:r>
    </w:p>
    <w:p>
      <w:pPr>
        <w:pStyle w:val="Caption"/>
      </w:pPr>
      <w:r>
        <w:drawing>
          <wp:inline xmlns:a="http://schemas.openxmlformats.org/drawingml/2006/main" xmlns:pic="http://schemas.openxmlformats.org/drawingml/2006/picture">
            <wp:extent cx="5486400" cy="4236388"/>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363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74 naturvårdsarter, varav 39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Phellodon aquiloniniger (NT),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