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2026-09-08 och omfattar 415,0 ha.</w:t>
      </w:r>
    </w:p>
    <w:p>
      <w:pPr>
        <w:pStyle w:val="Caption"/>
      </w:pPr>
      <w:r>
        <w:drawing>
          <wp:inline xmlns:a="http://schemas.openxmlformats.org/drawingml/2006/main" xmlns:pic="http://schemas.openxmlformats.org/drawingml/2006/picture">
            <wp:extent cx="4959031"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5903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153 naturvårdsarter varav 80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