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Lervassa träsk naturreservat i Haninge kommun</w:t>
      </w:r>
    </w:p>
    <w:p>
      <w:r>
        <w:t>Detta klagomål behandlar höga naturvärden i avverkningsanmälan Lervassa träsk naturreservat i Haninge kommun som inkom 2026-09-08 och omfattar 168,3 ha.</w:t>
      </w:r>
    </w:p>
    <w:p>
      <w:pPr>
        <w:pStyle w:val="Caption"/>
      </w:pPr>
      <w:r>
        <w:drawing>
          <wp:inline xmlns:a="http://schemas.openxmlformats.org/drawingml/2006/main" xmlns:pic="http://schemas.openxmlformats.org/drawingml/2006/picture">
            <wp:extent cx="5324556" cy="5724000"/>
            <wp:docPr id="1" name="Picture 1"/>
            <wp:cNvGraphicFramePr>
              <a:graphicFrameLocks noChangeAspect="1"/>
            </wp:cNvGraphicFramePr>
            <a:graphic>
              <a:graphicData uri="http://schemas.openxmlformats.org/drawingml/2006/picture">
                <pic:pic>
                  <pic:nvPicPr>
                    <pic:cNvPr id="0" name="Lervassa träsk naturreservat karta.png"/>
                    <pic:cNvPicPr/>
                  </pic:nvPicPr>
                  <pic:blipFill>
                    <a:blip r:embed="rId16"/>
                    <a:stretch>
                      <a:fillRect/>
                    </a:stretch>
                  </pic:blipFill>
                  <pic:spPr>
                    <a:xfrm>
                      <a:off x="0" y="0"/>
                      <a:ext cx="5324556"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6550927, E 695745 i SWEREF 99 TM.</w:t>
      </w:r>
    </w:p>
    <w:p>
      <w:r>
        <w:t>I och inom 23 meter från avverkningsanmälan finns fynd av 67 naturvårdsarter, varav 37 är rödlistade, 20 är fridlysta, 29 är typiska (T) och 15 är signalarter (S): knölig taggsvamp (EN), koppartaggsvamp (EN), bredbrämad bastardsvärmare (VU), garnlav (VU, T), goliatmusseron (VU, T), gränsticka (VU, T), grönfink (VU, §4), mindre bastardsvärmare (VU), sexfläckig bastardsvärmare (VU), skrovlig taggsvamp (VU), barrviolspindling (NT), blå taggsvamp (NT, T), dofttaggsvamp (NT, T), dropptaggsvamp (NT, T), enkelbeckasin (NT, §4), fjällig taggsvamp s.str. (NT), grönhjon (NT), gulsparv (NT, §4), kandelabersvamp (NT, T), kattfotslav (NT, T), kortskaftad ärgspik (NT), kötticka (NT), motaggsvamp (NT, T), orange taggsvamp (NT, T), Phellodon aquiloniniger (NT), reliktbock (NT, T), skarp dropptaggsvamp (NT), svartvit taggsvamp (NT), tallticka (NT, T), talltita (NT, §4), tjockfotad fingersvamp (NT), ullticka (NT, T), vedskivlav (NT, T), vedtrappmossa (NT, T), vintertagging (NT), vitplätt (NT), vågticka (NT), björksplintborre (S), blomkålssvamp (S), blåmossa (S, T), bronshjon (S, T), granbarkgnagare (S, T), grovticka (S, T), grön sköldmossa (S, T, §8), grönpyrola (S, T), mindre märgborre (S, T), rödgul trumpetsvamp (S), stekelbock (S, T), stor aspticka (S, T), stubbspretmossa (S, T), vedticka (S, T), vågbandad barkbock (S), blåsippa (T, §9), spillkråka (T, §4), tjäder (T, §4), fiskgjuse (§4), gröngöling (§4), havsörn (§4), kungsfågel (§4), orre (§4), huggorm (§6), kopparödla (§6), mindre vattensalamander (§6), vanlig groda (§6), vanlig padda (§6), fläcknycklar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Knölig taggsvamp (EN) </w:t>
      </w:r>
      <w:r>
        <w:t>är en starkt hotad art som bildar mykorrhiza med gran i äldre kalkbarrskog. Arten är placerad högst upp i Skogsstyrelsens värdepyramid för bedömning av skog med höga naturvärden och främsta hotet utgör skogsavverkning eller exploatering av växtplatsen. Samtliga växtlokaler utgör naturvårdsmässiga toppobjekt med stor biologisk mångfald, vilka alla bör erhålla långsiktigt formellt skydd (SLU Artdatabanken, 2024; Nitare &amp; Skogsstyrelsen, 2019).</w:t>
      </w:r>
    </w:p>
    <w:p>
      <w:r>
        <w:rPr>
          <w:b/>
        </w:rPr>
        <w:t xml:space="preserve">Koppartaggsvamp (EN) </w:t>
      </w:r>
      <w:r>
        <w:t>är en starkt hotad svamp som bildar mykorrhiza med gran i örtrik äldre granskog på kalkrik mark. Arten är en mycket bra indikator på skyddsvärda kalkgranskogar och påfallande ofta växer den tillsammans med raggtaggsvamp (EN). Koppartaggsvamp ingår i ett åtgärdsprogram för hotade arter (ÅGP) och dess långsiktiga överlevnad säkras genom att växtplatserna undantas från avverkning. Den totala populationen i landet har minskat kraftigt och minskningstakten, som uppgår till 50 (30–70) % inom 50 år, överstiger gränsvärdet för starkt hotad (EN) (SLU Artdatabanken, 2026; Nitare &amp; Skogsstyrelsen, 2019; Nitare, 2006).</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i/>
        </w:rPr>
        <w:t xml:space="preserve">Phellodon aquiloniniger </w:t>
      </w:r>
      <w:r>
        <w:rPr>
          <w:b/>
        </w:rPr>
        <w:t xml:space="preserve">(NT) </w:t>
      </w:r>
      <w:r>
        <w:t>är en taggsvamp som bildar mykorrhiza med tall, eventuellt även med gran, i sandtallskog och annan näringsfattig äldre tallskog och barrblandskog. Den totala populationen i landet bedöms ha minskat och förväntas fortsätta minska på grund av slutavverkning av äldre barrskog och kontinuitetsskog. Arten har begränsad förmåga att återetablera sig efter slutavverkning eller andra storskaliga skogsbruksåtgärder, och det finns inga indikationer på att den långsiktigt kan etablera eller reproducera sig i bestånd som brukas med trakthyggesmetoder, markberedning, gödsling eller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(SLU Artdatabanken, 2026).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Tjockfotad fingersvamp (NT) </w:t>
      </w:r>
      <w:r>
        <w:t>bildar mykorrhiza med gran, eventuellt även med tall, i örtrika kalkbarrskogar, samt med bok och ek i ädellövskog på kalkrik mark. Den totala populationen i landet bedöms ha minskat under de senaste 50 åren och förväntas fortsätta minska, främst på grund av slutavverkning av äldre barrskog. Minskningstakten för den svenska populationen bedöms vara nära gränsvärdet för sårbar (VU). Slutavverkning, gödsling eller exploatering måste undvikas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 xml:space="preserve">Vågticka (NT) </w:t>
      </w:r>
      <w:r>
        <w:t>förekommer främst i rikare kontinuitetsskogar med mycket död ved. Den växer på grova lågor och stubbar av gran och asp, men ibland även på andra trädslag.  Arten missgynnas av slutavverkning av äldre barrskog med lång skoglig kontinuitet, men även av skogliga åtgärder som t.ex. markberedning som förstör lågor. Minskningstakten för den svenska populationen bedöms vara nära gränsvärdet för sårbar (VU) (SLU Artdatabanken, 2026).</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Stekelbock</w:t>
      </w:r>
      <w:r>
        <w:t xml:space="preserve"> är knuten till äldre och gärna glesa lövskogar, och gynnas starkt av skogsbrand. Skalbaggens larvutveckling sker i ganska hård, solexponerad död ved i stående stammar av lövträd, främst björk, asp och al. Fullbildade individer påträffas i juni-augusti på lämplig ved eller i blommor av t.ex. strätta, fläder eller älggräs. Stekelbock är typisk art för </w:t>
      </w:r>
      <w:r>
        <w:rPr>
          <w:i/>
        </w:rPr>
        <w:t xml:space="preserve">9010 Taiga </w:t>
      </w:r>
      <w:r>
        <w:t>(SLU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Fiskgjuse (§4)</w:t>
      </w:r>
      <w:r>
        <w:t xml:space="preserve"> är fridlyst enligt 4§ artskyddsförordningen och upptagen i bilaga 1 EU:s fågeldirektiv. Den bygger vanligen sitt stora risbo i toppen av en plattkronad, kraftig tall (&gt;90%) med utsikt över omgivningen. Skogsavverkningar utan hänsyn till bevarandet av fiskgjusens boträd och häckningsbiotop utgör en fara genom att tillgången på lämpliga träd minskar. Lämna en skyddszon kring boplatser vid avverkning eller gallring. Boträdets placering styr behovet av skyddszon vilket måste bedömas från fall till fall, men skyddszonen bör vara tillräckligt bred för att behålla skydd mot insyn, erbjuda lämpliga sittplatser och förhindra att boträdet blåser ner. Avstå från skogsbruksåtgärder i hänsynskrävande miljöer, som på uddar eller öar med äldre skog eller hällmarkstallskog där det häckar fiskgjuse. Gör naturvårdsavsättningar i äldre skog i lämpliga områden för fiskgjuse, t.ex. på uddar och i hällmarksområden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52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67 naturvårdsarter varav 37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