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2026-09-08 och omfattar 159,7 ha.</w:t>
      </w:r>
    </w:p>
    <w:p>
      <w:pPr>
        <w:pStyle w:val="Caption"/>
      </w:pPr>
      <w:r>
        <w:drawing>
          <wp:inline xmlns:a="http://schemas.openxmlformats.org/drawingml/2006/main" xmlns:pic="http://schemas.openxmlformats.org/drawingml/2006/picture">
            <wp:extent cx="5486400" cy="4577993"/>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779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101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