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2026-09-08 och omfattar 450,6 ha.</w:t>
      </w:r>
    </w:p>
    <w:p>
      <w:pPr>
        <w:pStyle w:val="Caption"/>
      </w:pPr>
      <w:r>
        <w:drawing>
          <wp:inline xmlns:a="http://schemas.openxmlformats.org/drawingml/2006/main" xmlns:pic="http://schemas.openxmlformats.org/drawingml/2006/picture">
            <wp:extent cx="5486400" cy="4420131"/>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01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