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2026-09-08 och omfattar 237,7 ha.</w:t>
      </w:r>
    </w:p>
    <w:p>
      <w:pPr>
        <w:pStyle w:val="Caption"/>
      </w:pPr>
      <w:r>
        <w:drawing>
          <wp:inline xmlns:a="http://schemas.openxmlformats.org/drawingml/2006/main" xmlns:pic="http://schemas.openxmlformats.org/drawingml/2006/picture">
            <wp:extent cx="5486400" cy="4561272"/>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612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71 naturvårdsarter, varav 37 är rödlistade, 26 är fridlysta, 36 är typiska (T) och 16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