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2026-09-08 och omfattar 159,7 ha.</w:t>
      </w:r>
    </w:p>
    <w:p>
      <w:pPr>
        <w:pStyle w:val="Caption"/>
      </w:pPr>
      <w:r>
        <w:drawing>
          <wp:inline xmlns:a="http://schemas.openxmlformats.org/drawingml/2006/main" xmlns:pic="http://schemas.openxmlformats.org/drawingml/2006/picture">
            <wp:extent cx="5486400" cy="4577993"/>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5779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101 naturvårdsarter, varav 56 är rödlistade, 32 är fridlysta, 45 är typiska (T) och 25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tofsmes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fällmossa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