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2026-09-15 och omfattar 194,4 ha.</w:t>
      </w:r>
    </w:p>
    <w:p>
      <w:pPr>
        <w:pStyle w:val="Caption"/>
      </w:pPr>
      <w:r>
        <w:drawing>
          <wp:inline xmlns:a="http://schemas.openxmlformats.org/drawingml/2006/main" xmlns:pic="http://schemas.openxmlformats.org/drawingml/2006/picture">
            <wp:extent cx="5486400" cy="4539479"/>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39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