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2026-09-15 och omfattar 159,7 ha.</w:t>
      </w:r>
    </w:p>
    <w:p>
      <w:pPr>
        <w:pStyle w:val="Caption"/>
      </w:pPr>
      <w:r>
        <w:drawing>
          <wp:inline xmlns:a="http://schemas.openxmlformats.org/drawingml/2006/main" xmlns:pic="http://schemas.openxmlformats.org/drawingml/2006/picture">
            <wp:extent cx="5486400" cy="4564509"/>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5645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101 naturvårdsarter, varav 56 är rödlistade, 32 är fridlysta, 45 är typiska (T) och 25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tofsmes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fällmossa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