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Norrbyskogens naturreservat i Haninge kommun</w:t>
      </w:r>
    </w:p>
    <w:p>
      <w:r>
        <w:t>Detta klagomål behandlar höga naturvärden i avverkningsanmälan Norrbyskogens naturreservat i Haninge kommun som inkom 2026-10-22 och omfattar 85,6 ha.</w:t>
      </w:r>
    </w:p>
    <w:p>
      <w:pPr>
        <w:pStyle w:val="Caption"/>
      </w:pPr>
      <w:r>
        <w:drawing>
          <wp:inline xmlns:a="http://schemas.openxmlformats.org/drawingml/2006/main" xmlns:pic="http://schemas.openxmlformats.org/drawingml/2006/picture">
            <wp:extent cx="5012591" cy="5724000"/>
            <wp:docPr id="1" name="Picture 1"/>
            <wp:cNvGraphicFramePr>
              <a:graphicFrameLocks noChangeAspect="1"/>
            </wp:cNvGraphicFramePr>
            <a:graphic>
              <a:graphicData uri="http://schemas.openxmlformats.org/drawingml/2006/picture">
                <pic:pic>
                  <pic:nvPicPr>
                    <pic:cNvPr id="0" name="Norrbyskogens naturreservat karta.png"/>
                    <pic:cNvPicPr/>
                  </pic:nvPicPr>
                  <pic:blipFill>
                    <a:blip r:embed="rId16"/>
                    <a:stretch>
                      <a:fillRect/>
                    </a:stretch>
                  </pic:blipFill>
                  <pic:spPr>
                    <a:xfrm>
                      <a:off x="0" y="0"/>
                      <a:ext cx="5012591"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6566027, E 681114 i SWEREF 99 TM.</w:t>
      </w:r>
    </w:p>
    <w:p>
      <w:r>
        <w:t>I och inom 6 meter från avverkningsanmälan finns fynd av 57 naturvårdsarter, varav 20 är rödlistade, 19 är fridlysta, 22 är typiska (T) och 25 är signalarter (S): fläckfingersvamp (VU), gränsticka (VU, T), grönfink (VU, §4), solfingersvamp (VU), brunlångöra (NT, §4a), duvhök (NT, §4), fjällig taggsvamp s.str. (NT), gullmurkling (NT), gullpudra (NT, T), järnsparv (NT, §4), kandelabersvamp (NT, T), loppstarr (NT), mindre träfjäril (NT), motaggsvamp (NT, T), nordfladdermus (NT, §4a), tallticka (NT, T), talltita (NT, §4), ullticka (NT, T), vågticka (NT), älg (NT), aspvedgnagare (S), björksplintborre (S), blomkålssvamp (S), brandticka (S), granbarkgnagare (S, T), grön sköldmossa (S, T, §8), jättesvampmal (S), mindre märgborre (S, T), mörk husmossa (S, T), noshornsoxe (S), praktscharlakansskål (S), rävticka (S, T), rödgul trumpetsvamp (S), skogsbräsma (S), skogshakmossa (S, T), stekelbock (S, T), stubbspretmossa (S, T), större träfjäril (S), trubbfjädermossa (S, T), trådticka (S, T), vedticka (S, T), västlig hakmossa (S), vätteros (S, T), vågbandad barkbock (S), zontaggsvamp (S), blåsippa (T, §9), mattlummer (T, §9), spillkråka (T, §4), tallbit (T, §4), dvärgpipistrell (§4a), gröngöling (§4), grönsiska (§4), kungsfågel (§4), vattenfladdermus (§4a), åkergroda (§4a), vanlig groda (§6)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Fläckfingersvamp (VU) </w:t>
      </w:r>
      <w:r>
        <w:t>är en sällsynt ”toppart” som bildar mykorrhiza med dels bok i äldre bokskog, dels med gran i barrskog på näringsrik-kalkrik mark, sällsynt även med ek i ädellövskog. Svampen har en egenartad, ljust svavelgröngul färg som är svår att återge. På foten och i gamla skador får svampen karaktäristiska vinröda fläckar och är därför lätt att känna igen. All form av skogsavverkning i eller i närheten av växtplatsen missgynnar arten och skogsområden där den förekommer bör skyddas och undantas från rationellt skogsbruk. Fläckfingersvamp är placerad högst upp i Skogsstyrelsens värdepyramid för bedömning av skog med höga naturvärden och dess växtplatser utgör ofta s.k. ”hotspots” för ett stort antal rödlistade svampar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Solfingersvamp (VU) </w:t>
      </w:r>
      <w:r>
        <w:t>bildar mykorrhiza med ek, lind och bok, kanske även hassel i luckiga, äldre ädellövskogar på kalkrik eller grönstenspåverkad mark. Arten hotas främst av skogsavverkning. Områdesskydd är en viktig åtgärd för att bevara artens förekomster (SLU Artdatabanken, 2026).</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Gullmurkling (NT)</w:t>
      </w:r>
      <w:r>
        <w:t xml:space="preserve"> är placerad högst upp i Skogsstyrelsens värdepyramid för bedömning av skog med höga naturvärden och är överallt en mycket bra signalart som visar på skyddsvärda granskogar och skogsbäckar. Kända växtplatser bör inte kalavverkas eller markberedas och tunga, terränggående maskiner bör inte användas (SLU Artdatabanken, 2024; Nitare &amp; Skogsstyrelsen, 2019).</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Mindre träfjäril (NT)</w:t>
      </w:r>
      <w:r>
        <w:t xml:space="preserve"> förekommer i främst lite torrare klimatzoner på grövre, särskilt utvalda aspar i ljusa blandskogar och skogsridåer med lång kontinuitet av grova aspträd. I gynnsamma miljöer angrips samma träd under en lång följd av år och dessa träd igenkänns lättare på håll genom att larvens skadegörelse förorsakar savning som gynnar en svart alg. Hårt angripna aspar utvecklar kräftliknande symptom och får en ansvällning av det angripna stampartiet. Det runda kläckhålet är centimeterstort med en puppgång som sträcker sig 20 cm in i trädet. Beroendet av kontinuitet, stora träd och ej sluten skog gör att arten missgynnas i rationellt brukade skogsområden. Eftersom habitatet är kontinuitetsbestånd av äldre grova aspar är artens livsmiljöer idag fragmenterade. Skogsbruket avverkar åtskilliga aspar som är lämpliga eller kan bli det framöver och solitärer som sparas blåser ofta omkull efter några år och blir obrukbara för fjärilen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Rävticka</w:t>
      </w:r>
      <w:r>
        <w:t xml:space="preserve"> är typisk art för </w:t>
      </w:r>
      <w:r>
        <w:rPr>
          <w:i/>
        </w:rPr>
        <w:t xml:space="preserve">9010 Taiga </w:t>
      </w:r>
      <w:r>
        <w:t>(SLU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Stekelbock</w:t>
      </w:r>
      <w:r>
        <w:t xml:space="preserve"> är knuten till äldre och gärna glesa lövskogar, och gynnas starkt av skogsbrand. Skalbaggens larvutveckling sker i ganska hård, solexponerad död ved i stående stammar av lövträd, främst björk, asp och al. Fullbildade individer påträffas i juni-augusti på lämplig ved eller i blommor av t.ex. strätta, fläder eller älggräs. Stekelbock är typisk art för </w:t>
      </w:r>
      <w:r>
        <w:rPr>
          <w:i/>
        </w:rPr>
        <w:t xml:space="preserve">9010 Taiga </w:t>
      </w:r>
      <w:r>
        <w:t>(SLU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45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57 naturvårdsarter varav 20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