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2026-10-22 och omfattar 159,7 ha.</w:t>
      </w:r>
    </w:p>
    <w:p>
      <w:pPr>
        <w:pStyle w:val="Caption"/>
      </w:pPr>
      <w:r>
        <w:drawing>
          <wp:inline xmlns:a="http://schemas.openxmlformats.org/drawingml/2006/main" xmlns:pic="http://schemas.openxmlformats.org/drawingml/2006/picture">
            <wp:extent cx="5486400" cy="4406649"/>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66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114 naturvårdsarter, varav 59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114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