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Örans naturreservat i Haninge kommun</w:t>
      </w:r>
    </w:p>
    <w:p>
      <w:r>
        <w:t>Denna tillsynsbegäran behandlar höga naturvärden i avverkningsanmälan Örans naturreservat i Haninge kommun som inkom 2026-10-22 och omfattar 659,9 ha.</w:t>
      </w:r>
    </w:p>
    <w:p>
      <w:pPr>
        <w:pStyle w:val="Caption"/>
      </w:pPr>
      <w:r>
        <w:drawing>
          <wp:inline xmlns:a="http://schemas.openxmlformats.org/drawingml/2006/main" xmlns:pic="http://schemas.openxmlformats.org/drawingml/2006/picture">
            <wp:extent cx="4465641" cy="5724000"/>
            <wp:docPr id="1" name="Picture 1"/>
            <wp:cNvGraphicFramePr>
              <a:graphicFrameLocks noChangeAspect="1"/>
            </wp:cNvGraphicFramePr>
            <a:graphic>
              <a:graphicData uri="http://schemas.openxmlformats.org/drawingml/2006/picture">
                <pic:pic>
                  <pic:nvPicPr>
                    <pic:cNvPr id="0" name="Örans naturreservat karta.png"/>
                    <pic:cNvPicPr/>
                  </pic:nvPicPr>
                  <pic:blipFill>
                    <a:blip r:embed="rId16"/>
                    <a:stretch>
                      <a:fillRect/>
                    </a:stretch>
                  </pic:blipFill>
                  <pic:spPr>
                    <a:xfrm>
                      <a:off x="0" y="0"/>
                      <a:ext cx="4465641"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6558937, E 673562 i SWEREF 99 TM.</w:t>
      </w:r>
    </w:p>
    <w:p>
      <w:r>
        <w:t>I och inom 13 meter från avverkningsanmälan finns fynd av 66 naturvårdsarter, varav 32 är rödlistade, 37 är fridlysta, 25 är typiska (T) och 12 är signalarter (S): brunfläckig pärlemorfjäril (VU), garnlav (VU, T), gränsticka (VU, T), gråtrut (VU, §4), grönfink (VU, §4), hussvala (VU, §4), igelkott (VU), raggbock (VU, T), ryl (VU, T), stare (VU, §4), tornseglare (VU, §4), berggräsfjäril (NT), björktrast (NT, §4), borsttåg (NT), dofttaggsvamp (NT, T), entita (NT, T, §4), grönsångare (NT, §4), gulsparv (NT, §4), göktyta (NT, §4), järnsparv (NT, §4), kattfotslav (NT, T), kolflarnlav (NT, T), krusfrö (NT), ladusvala (NT, §4), mindre tåtelsmygare (NT), motaggsvamp (NT, T), oxtungssvamp (NT), sädesärla (NT, §4), tallticka (NT, T), talltita (NT, §4), vedtrappmossa (NT, T), vintertagging (NT), blåmossa (S, T), grov fjädermossa (S, T), grovticka (S, T), gräsull (S), grön sköldmossa (S, T, §8), grönpyrola (S, T), guldlockmossa (S, T), mindre märgborre (S, T), platt fjädermossa (S, T), rostfläck (S, T), spindelbock (S), vedticka (S, T), mattlummer (T, §9), spillkråka (T, §4), stjärtmes (T, §4), tofsmes (T, §4), gröngöling (§4), grönsiska (§4), kråka (§4), kungsfågel (§4), näktergal (§4), pudrad kärrtrollslända (§4a), svartvit flugsnappare (§4), sångsvan (§4), trana (§4), trädlärka (§4), ärtsångare (§4), åkergroda (§4a), huggorm (§6), kopparödla (§6), mindre vattensalamander (§6), vanlig groda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Spindelbock</w:t>
      </w:r>
      <w:r>
        <w:t xml:space="preserve"> är en långhorning vars larvutveckling sker under barken på nyligen döda grenar och stammar av olika lövträd, främst björk och asp, men även klibbal, ek, hassel, sälg och andra trädslag. Det föreligger indikation på eller misstanke om populationsminskning. Minskningen avser kvalitén på artens habitat på grund av fortsatt snabb avverkning av kontinuitetsskog i norra Sverige, samt ett ökat utnyttjande av flisved (GROT) för energiändamål och röjning i hagmarker på grund av ändrade miljöersättningsregler i den södra halvan av landet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raggbock (VU, T), ryl (VU, T), dofttaggsvamp (NT, T), entita (NT, T, §4), kattfotslav (NT, T), kolflarnlav (NT, T), motaggsvamp (NT, T), tallticka (NT, T), vedtrappmossa (NT, T), blåmossa (S, T), grov fjädermossa (S, T), grovticka (S, T), grön sköldmossa (S, T, §8), grönpyrola (S, T), guldlockmossa (S, T), mindre märgborre (S, T), platt fjädermossa (S, T), rostfläck (S, T), vedticka (S, T), mattlummer (T, §9), spillkråka (T, §4), stjärtmes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