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2026-10-22 och omfattar 159,7 ha.</w:t>
      </w:r>
    </w:p>
    <w:p>
      <w:pPr>
        <w:pStyle w:val="Caption"/>
      </w:pPr>
      <w:r>
        <w:drawing>
          <wp:inline xmlns:a="http://schemas.openxmlformats.org/drawingml/2006/main" xmlns:pic="http://schemas.openxmlformats.org/drawingml/2006/picture">
            <wp:extent cx="5486400" cy="4406649"/>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066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114 naturvårdsarter, varav 59 är rödlistade, 39 är fridlysta, 51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hultbräken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blodticka (S, T), blåmossa (S, T), bronshjon (S, T), flagellkvastmossa (S, T), fällmossa (S, T), granbarkgnagare (S, T), grovticka (S, T), grön sköldmossa (S, T, §8), grönpyrola (S, T), korallrot (S, T, §8), mindre märgborre (S, T), nästlav (S, T), plattlummer (S, T, §9), rostfläck (S, T), spindelblomster (S, T, §8), stubbspretmossa (S, T), trådticka (S, T), vedticka (S, T), blåsippa (T, §9), ekbräken (T), hultbräken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